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663F">
      <w:pPr>
        <w:widowControl w:val="0"/>
        <w:spacing w:after="156" w:afterLines="50" w:line="460" w:lineRule="exact"/>
        <w:ind w:firstLine="0" w:firstLineChars="0"/>
        <w:jc w:val="center"/>
        <w:rPr>
          <w:rFonts w:hint="eastAsia" w:ascii="宋体" w:hAnsi="宋体" w:eastAsia="宋体" w:cs="___WRD_EMBED_SUB_47"/>
          <w:b/>
          <w:bCs/>
          <w:color w:val="000000"/>
          <w:kern w:val="2"/>
          <w:sz w:val="36"/>
          <w:szCs w:val="36"/>
          <w:lang w:eastAsia="zh-CN"/>
        </w:rPr>
      </w:pPr>
      <w:r>
        <w:rPr>
          <w:rFonts w:hint="eastAsia" w:ascii="宋体" w:hAnsi="宋体" w:eastAsia="宋体" w:cs="___WRD_EMBED_SUB_47"/>
          <w:b/>
          <w:bCs/>
          <w:color w:val="000000"/>
          <w:kern w:val="2"/>
          <w:sz w:val="36"/>
          <w:szCs w:val="36"/>
          <w:lang w:eastAsia="zh-CN"/>
        </w:rPr>
        <w:t>中南财经政法大学纪检监察学院（国家治理学院）</w:t>
      </w:r>
    </w:p>
    <w:p w14:paraId="6F7C1E1E">
      <w:pPr>
        <w:widowControl w:val="0"/>
        <w:spacing w:after="156" w:afterLines="50" w:line="460" w:lineRule="exact"/>
        <w:ind w:firstLine="0" w:firstLineChars="0"/>
        <w:jc w:val="center"/>
        <w:rPr>
          <w:rFonts w:hint="eastAsia" w:ascii="宋体" w:hAnsi="宋体" w:eastAsia="宋体" w:cs="___WRD_EMBED_SUB_47"/>
          <w:b/>
          <w:bCs/>
          <w:color w:val="000000"/>
          <w:kern w:val="2"/>
          <w:sz w:val="36"/>
          <w:szCs w:val="36"/>
          <w:lang w:eastAsia="zh-CN"/>
        </w:rPr>
      </w:pPr>
      <w:r>
        <w:rPr>
          <w:rFonts w:hint="eastAsia" w:ascii="宋体" w:hAnsi="宋体" w:eastAsia="宋体" w:cs="___WRD_EMBED_SUB_47"/>
          <w:b/>
          <w:bCs/>
          <w:color w:val="000000"/>
          <w:kern w:val="2"/>
          <w:sz w:val="36"/>
          <w:szCs w:val="36"/>
          <w:lang w:eastAsia="zh-CN"/>
        </w:rPr>
        <w:t>“</w:t>
      </w:r>
      <w:r>
        <w:rPr>
          <w:rFonts w:hint="eastAsia" w:ascii="宋体" w:hAnsi="宋体" w:cs="___WRD_EMBED_SUB_47"/>
          <w:b/>
          <w:bCs/>
          <w:color w:val="000000"/>
          <w:kern w:val="2"/>
          <w:sz w:val="36"/>
          <w:szCs w:val="36"/>
          <w:lang w:val="en-US" w:eastAsia="zh-CN"/>
        </w:rPr>
        <w:t>体育先进个人</w:t>
      </w:r>
      <w:r>
        <w:rPr>
          <w:rFonts w:hint="eastAsia" w:ascii="宋体" w:hAnsi="宋体" w:eastAsia="宋体" w:cs="___WRD_EMBED_SUB_47"/>
          <w:b/>
          <w:bCs/>
          <w:color w:val="000000"/>
          <w:kern w:val="2"/>
          <w:sz w:val="36"/>
          <w:szCs w:val="36"/>
          <w:lang w:eastAsia="zh-CN"/>
        </w:rPr>
        <w:t>”评选细则</w:t>
      </w:r>
    </w:p>
    <w:p w14:paraId="079C4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一、评优条件</w:t>
      </w:r>
    </w:p>
    <w:p w14:paraId="128C8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（一）坚持四项基本原则，遵守国家法律法规及各项政策；</w:t>
      </w:r>
    </w:p>
    <w:p w14:paraId="35429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（二）遵守学校各项规章制度，无违反校纪校规的现象；</w:t>
      </w:r>
    </w:p>
    <w:p w14:paraId="55AF32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（三）学习目标明确，学习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态度端正</w:t>
      </w:r>
      <w:r>
        <w:rPr>
          <w:rFonts w:hint="eastAsia" w:ascii="宋体" w:hAnsi="宋体" w:eastAsia="宋体" w:cs="宋体"/>
          <w:kern w:val="0"/>
          <w:sz w:val="28"/>
          <w:szCs w:val="28"/>
        </w:rPr>
        <w:t>，学年内无重修科目；</w:t>
      </w:r>
    </w:p>
    <w:p w14:paraId="3D4399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（四）系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纪检监察</w:t>
      </w:r>
      <w:r>
        <w:rPr>
          <w:rFonts w:hint="eastAsia" w:ascii="宋体" w:hAnsi="宋体" w:eastAsia="宋体" w:cs="宋体"/>
          <w:sz w:val="28"/>
          <w:szCs w:val="28"/>
        </w:rPr>
        <w:t>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国家治理学院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在校学生，曾参与学院组织的体育赛事或代表学院参加校内外体育活动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 w14:paraId="56198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（五）积极参加各项体育赛事，表现突出，积极为学院争取荣誉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 w14:paraId="33281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（六）有强烈的集体责任感和奉献精神。</w:t>
      </w:r>
    </w:p>
    <w:p w14:paraId="24EC4D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二、其他</w:t>
      </w:r>
    </w:p>
    <w:p w14:paraId="18644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此项为附加项：</w:t>
      </w:r>
    </w:p>
    <w:p w14:paraId="59599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1.个人或个人参与的集体项目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在院级及以上体育赛事中取得名次或获得表彰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（国家级加1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分，省部级加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分，市厅级加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分，校级加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分，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院级加3分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</w:p>
    <w:p w14:paraId="5D5C1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在当年度学院、学校或更高层级组织的体育活动有突出表现或积极贡献的，可酌情加1-5分。</w:t>
      </w:r>
    </w:p>
    <w:p w14:paraId="300CD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2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三、附则</w:t>
      </w:r>
    </w:p>
    <w:p w14:paraId="47650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1.第一部分评优条件为必备条件，未达到条件者不得参评。</w:t>
      </w:r>
    </w:p>
    <w:p w14:paraId="620C7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2.所获荣誉奖励、工作经历应发生在2025年4月至2026年4月内。</w:t>
      </w:r>
    </w:p>
    <w:p w14:paraId="2814B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.参评成员上交申报材料需附个人成绩单，院团委将对参评成员成绩进行抽查。</w:t>
      </w:r>
    </w:p>
    <w:p w14:paraId="5BBB1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以上办法的解释权归共青团中南财经政法大学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纪检监察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学院委员会所有。</w:t>
      </w:r>
    </w:p>
    <w:p w14:paraId="79EA22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337EA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共青团中南财经政法大学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纪检监察</w:t>
      </w:r>
      <w:r>
        <w:rPr>
          <w:rFonts w:hint="eastAsia" w:ascii="宋体" w:hAnsi="宋体" w:eastAsia="宋体" w:cs="宋体"/>
          <w:sz w:val="28"/>
          <w:szCs w:val="28"/>
        </w:rPr>
        <w:t>学院委员会</w:t>
      </w:r>
    </w:p>
    <w:p w14:paraId="4104D9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560" w:firstLineChars="200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年3月2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</w:p>
    <w:p w14:paraId="58EEF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 w:cs="Arial"/>
          <w:kern w:val="0"/>
          <w:sz w:val="36"/>
          <w:szCs w:val="36"/>
          <w:lang w:eastAsia="zh-CN"/>
        </w:rPr>
      </w:pPr>
      <w:r>
        <w:rPr>
          <w:rFonts w:hint="eastAsia"/>
          <w:sz w:val="30"/>
          <w:szCs w:val="30"/>
        </w:rPr>
        <w:br w:type="page"/>
      </w:r>
      <w:r>
        <w:rPr>
          <w:rFonts w:hint="eastAsia" w:ascii="方正小标宋简体" w:eastAsia="方正小标宋简体" w:cs="Arial"/>
          <w:kern w:val="0"/>
          <w:sz w:val="36"/>
          <w:szCs w:val="36"/>
          <w:lang w:eastAsia="zh-CN"/>
        </w:rPr>
        <w:t>中南财经政法大学纪检监察学院（国家治理学院）</w:t>
      </w:r>
    </w:p>
    <w:p w14:paraId="17FE3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center"/>
        <w:textAlignment w:val="auto"/>
        <w:rPr>
          <w:rFonts w:hint="eastAsia" w:ascii="方正小标宋简体" w:eastAsia="方正小标宋简体" w:cs="Arial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 w:cs="Arial"/>
          <w:kern w:val="0"/>
          <w:sz w:val="36"/>
          <w:szCs w:val="36"/>
          <w:lang w:eastAsia="zh-CN"/>
        </w:rPr>
        <w:t>“</w:t>
      </w:r>
      <w:r>
        <w:rPr>
          <w:rFonts w:hint="eastAsia" w:ascii="方正小标宋简体" w:eastAsia="方正小标宋简体" w:cs="Arial"/>
          <w:kern w:val="0"/>
          <w:sz w:val="36"/>
          <w:szCs w:val="36"/>
          <w:lang w:val="en-US" w:eastAsia="zh-CN"/>
        </w:rPr>
        <w:t>体育先进个人</w:t>
      </w:r>
      <w:r>
        <w:rPr>
          <w:rFonts w:hint="eastAsia" w:ascii="方正小标宋简体" w:eastAsia="方正小标宋简体" w:cs="Arial"/>
          <w:kern w:val="0"/>
          <w:sz w:val="36"/>
          <w:szCs w:val="36"/>
          <w:lang w:eastAsia="zh-CN"/>
        </w:rPr>
        <w:t>”申报表</w:t>
      </w:r>
    </w:p>
    <w:tbl>
      <w:tblPr>
        <w:tblStyle w:val="4"/>
        <w:tblW w:w="8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463"/>
        <w:gridCol w:w="993"/>
        <w:gridCol w:w="880"/>
        <w:gridCol w:w="764"/>
        <w:gridCol w:w="57"/>
        <w:gridCol w:w="850"/>
        <w:gridCol w:w="1139"/>
        <w:gridCol w:w="1531"/>
      </w:tblGrid>
      <w:tr w14:paraId="7AD4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vAlign w:val="center"/>
          </w:tcPr>
          <w:p w14:paraId="0E36FF67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2"/>
            <w:vAlign w:val="center"/>
          </w:tcPr>
          <w:p w14:paraId="6EF0DB3F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917EF02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14:paraId="1638E197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332ABC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39" w:type="dxa"/>
            <w:vAlign w:val="center"/>
          </w:tcPr>
          <w:p w14:paraId="08FB2FB7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762228C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照片</w:t>
            </w:r>
          </w:p>
        </w:tc>
      </w:tr>
      <w:tr w14:paraId="4DA0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391BDA2F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6" w:type="dxa"/>
            <w:gridSpan w:val="2"/>
            <w:vAlign w:val="center"/>
          </w:tcPr>
          <w:p w14:paraId="7C8E0620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F8DFDA5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加权平均成绩</w:t>
            </w:r>
          </w:p>
        </w:tc>
        <w:tc>
          <w:tcPr>
            <w:tcW w:w="1989" w:type="dxa"/>
            <w:gridSpan w:val="2"/>
            <w:vAlign w:val="center"/>
          </w:tcPr>
          <w:p w14:paraId="3548A53E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3EF81091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276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gridSpan w:val="2"/>
            <w:vAlign w:val="center"/>
          </w:tcPr>
          <w:p w14:paraId="1E2B82E5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456" w:type="dxa"/>
            <w:gridSpan w:val="2"/>
            <w:vAlign w:val="center"/>
          </w:tcPr>
          <w:p w14:paraId="06494171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3605302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学生工作经历</w:t>
            </w:r>
          </w:p>
        </w:tc>
        <w:tc>
          <w:tcPr>
            <w:tcW w:w="1989" w:type="dxa"/>
            <w:gridSpan w:val="2"/>
            <w:vAlign w:val="center"/>
          </w:tcPr>
          <w:p w14:paraId="615D4E17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5389A471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4D4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900" w:type="dxa"/>
            <w:vAlign w:val="center"/>
          </w:tcPr>
          <w:p w14:paraId="733238D9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7577" w:type="dxa"/>
            <w:gridSpan w:val="9"/>
            <w:vAlign w:val="center"/>
          </w:tcPr>
          <w:p w14:paraId="68BBDCA8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1FA928A">
            <w:pPr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35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900" w:type="dxa"/>
            <w:vAlign w:val="center"/>
          </w:tcPr>
          <w:p w14:paraId="5EEA35FC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曾获奖励</w:t>
            </w:r>
          </w:p>
        </w:tc>
        <w:tc>
          <w:tcPr>
            <w:tcW w:w="7577" w:type="dxa"/>
            <w:gridSpan w:val="9"/>
            <w:vAlign w:val="center"/>
          </w:tcPr>
          <w:p w14:paraId="5A25FBAE">
            <w:pPr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6A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1" w:hRule="atLeast"/>
          <w:jc w:val="center"/>
        </w:trPr>
        <w:tc>
          <w:tcPr>
            <w:tcW w:w="900" w:type="dxa"/>
            <w:vAlign w:val="center"/>
          </w:tcPr>
          <w:p w14:paraId="5B27FADA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组</w:t>
            </w:r>
          </w:p>
          <w:p w14:paraId="27CF6AD1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织</w:t>
            </w:r>
          </w:p>
          <w:p w14:paraId="5B41A3CC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</w:t>
            </w:r>
          </w:p>
          <w:p w14:paraId="0035BB14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236" w:type="dxa"/>
            <w:gridSpan w:val="4"/>
            <w:vAlign w:val="center"/>
          </w:tcPr>
          <w:p w14:paraId="2856AC4F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01D1577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B0A3AA4">
            <w:pPr>
              <w:widowControl w:val="0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278906D">
            <w:pPr>
              <w:widowControl w:val="0"/>
              <w:ind w:firstLine="840" w:firstLineChars="3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负责人签字：</w:t>
            </w:r>
          </w:p>
          <w:p w14:paraId="5649802F">
            <w:pPr>
              <w:widowControl w:val="0"/>
              <w:ind w:firstLine="1440" w:firstLineChars="6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764" w:type="dxa"/>
            <w:textDirection w:val="tbRlV"/>
            <w:vAlign w:val="center"/>
          </w:tcPr>
          <w:p w14:paraId="5CC77C11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分团委意见</w:t>
            </w:r>
          </w:p>
        </w:tc>
        <w:tc>
          <w:tcPr>
            <w:tcW w:w="3577" w:type="dxa"/>
            <w:gridSpan w:val="4"/>
            <w:tcBorders>
              <w:right w:val="single" w:color="auto" w:sz="4" w:space="0"/>
            </w:tcBorders>
            <w:vAlign w:val="center"/>
          </w:tcPr>
          <w:p w14:paraId="6BEF6EB7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5B775AD0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980933B">
            <w:pPr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149D1295">
            <w:pPr>
              <w:ind w:firstLine="360" w:firstLineChars="1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（签章）：</w:t>
            </w:r>
          </w:p>
          <w:p w14:paraId="68DE90E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年月日</w:t>
            </w:r>
          </w:p>
        </w:tc>
      </w:tr>
      <w:tr w14:paraId="15AF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00" w:type="dxa"/>
            <w:tcBorders>
              <w:left w:val="single" w:color="auto" w:sz="4" w:space="0"/>
            </w:tcBorders>
            <w:vAlign w:val="center"/>
          </w:tcPr>
          <w:p w14:paraId="473F958F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</w:t>
            </w:r>
          </w:p>
          <w:p w14:paraId="6D5959CD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577" w:type="dxa"/>
            <w:gridSpan w:val="9"/>
            <w:tcBorders>
              <w:right w:val="single" w:color="auto" w:sz="4" w:space="0"/>
            </w:tcBorders>
            <w:vAlign w:val="center"/>
          </w:tcPr>
          <w:p w14:paraId="17D6F8EC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2D183B7E">
            <w:pPr>
              <w:widowControl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CA0B397">
      <w:pPr>
        <w:ind w:firstLine="420"/>
        <w:jc w:val="left"/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说明：</w:t>
      </w:r>
      <w:r>
        <w:rPr>
          <w:rFonts w:ascii="仿宋_GB2312"/>
          <w:sz w:val="21"/>
          <w:szCs w:val="21"/>
        </w:rPr>
        <w:t>1.此表请用黑色、蓝黑色钢笔或中性笔填写，字迹工整清晰。2.此表同其它申报材料一并上报。3.此表可附页。</w:t>
      </w:r>
    </w:p>
    <w:p w14:paraId="52EB3391">
      <w:pPr>
        <w:ind w:firstLine="0" w:firstLineChars="0"/>
        <w:jc w:val="right"/>
        <w:rPr>
          <w:rFonts w:hint="eastAsia" w:ascii="仿宋_GB2312"/>
          <w:sz w:val="21"/>
          <w:szCs w:val="21"/>
        </w:rPr>
      </w:pPr>
      <w:r>
        <w:rPr>
          <w:rFonts w:hint="eastAsia" w:ascii="仿宋_GB2312"/>
          <w:sz w:val="21"/>
          <w:szCs w:val="21"/>
        </w:rPr>
        <w:t>共青团中南财经政法大学</w:t>
      </w:r>
      <w:r>
        <w:rPr>
          <w:rFonts w:hint="eastAsia" w:ascii="仿宋_GB2312"/>
          <w:sz w:val="21"/>
          <w:szCs w:val="21"/>
          <w:lang w:val="en-US" w:eastAsia="zh-CN"/>
        </w:rPr>
        <w:t>纪检监察</w:t>
      </w:r>
      <w:r>
        <w:rPr>
          <w:rFonts w:hint="eastAsia" w:ascii="仿宋_GB2312"/>
          <w:sz w:val="21"/>
          <w:szCs w:val="21"/>
        </w:rPr>
        <w:t>学院委员会二</w:t>
      </w:r>
      <w:r>
        <w:rPr>
          <w:rFonts w:hint="eastAsia" w:ascii="微软雅黑" w:hAnsi="微软雅黑" w:eastAsia="微软雅黑" w:cs="微软雅黑"/>
          <w:sz w:val="21"/>
          <w:szCs w:val="21"/>
        </w:rPr>
        <w:t>〇</w:t>
      </w:r>
      <w:r>
        <w:rPr>
          <w:rFonts w:hint="eastAsia" w:ascii="仿宋_GB2312"/>
          <w:sz w:val="21"/>
          <w:szCs w:val="21"/>
        </w:rPr>
        <w:t>二</w:t>
      </w:r>
      <w:r>
        <w:rPr>
          <w:rFonts w:hint="eastAsia" w:ascii="仿宋_GB2312"/>
          <w:sz w:val="21"/>
          <w:szCs w:val="21"/>
          <w:lang w:val="en-US" w:eastAsia="zh-CN"/>
        </w:rPr>
        <w:t>六</w:t>
      </w:r>
      <w:r>
        <w:rPr>
          <w:rFonts w:hint="eastAsia" w:ascii="仿宋_GB2312"/>
          <w:sz w:val="21"/>
          <w:szCs w:val="21"/>
        </w:rPr>
        <w:t>年制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23C1B38-9C30-4B75-86B0-442923A785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CA07A95C-31DA-45CB-9D6D-8153E0CA19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EFA1993-F835-4202-BB70-4D18E84BBE55}"/>
  </w:font>
  <w:font w:name="___WRD_EMBED_SUB_47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8907E7C6-B2D3-4359-901E-A5C0A04250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4C0B5616-ACE2-4079-BED2-2927AFE65E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8CB21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0F57FF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9722DE5"/>
    <w:rsid w:val="29AA23E9"/>
    <w:rsid w:val="31A87524"/>
    <w:rsid w:val="45C5024D"/>
    <w:rsid w:val="4ABF25B2"/>
    <w:rsid w:val="4C4730D6"/>
    <w:rsid w:val="4CEF6FC4"/>
    <w:rsid w:val="551B1C37"/>
    <w:rsid w:val="5BF7468B"/>
    <w:rsid w:val="6D7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脚 Char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680</Characters>
  <Lines>20</Lines>
  <Paragraphs>16</Paragraphs>
  <TotalTime>0</TotalTime>
  <ScaleCrop>false</ScaleCrop>
  <LinksUpToDate>false</LinksUpToDate>
  <CharactersWithSpaces>680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2025-03-23T21:59:00Z</dcterms:created>
  <dc:creator>赵 畅</dc:creator>
  <cp:lastModifiedBy>周诗琪</cp:lastModifiedBy>
  <dcterms:modified xsi:type="dcterms:W3CDTF">2026-03-27T02:23:38Z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9E035FF003A144A7BD71D38874A25D33_13</vt:lpwstr>
  </property>
  <property fmtid="{D5CDD505-2E9C-101B-9397-08002B2CF9AE}" pid="4" name="KSOTemplateDocerSaveRecord">
    <vt:lpwstr>eyJoZGlkIjoiMDMxMjJmY2RlMDMzZDQwOWQ4ZWUyMWYyYWMzYTNkZWUiLCJ1c2VySWQiOiIxNTM1MzczNzc2In0=</vt:lpwstr>
  </property>
</Properties>
</file>